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>
          <w:sz w:val="24"/>
          <w:szCs w:val="24"/>
        </w:rPr>
      </w:pPr>
      <w:bookmarkStart w:id="0" w:name="_GoBack22"/>
      <w:bookmarkEnd w:id="0"/>
      <w:r>
        <w:rPr>
          <w:rFonts w:eastAsia="Lora" w:cs="Circular Std;Yu Gothic" w:ascii="Circular Std;Yu Gothic" w:hAnsi="Circular Std;Yu Gothic"/>
          <w:b/>
          <w:bCs/>
          <w:color w:val="FF3333"/>
          <w:sz w:val="24"/>
          <w:szCs w:val="24"/>
        </w:rPr>
        <w:t xml:space="preserve">MOCIÓ QUE PRESENTA L’EQUIP DE GOVERN PER LA COL·LABORACIÓ DE L’AJUNTAMENT DE </w:t>
      </w:r>
      <w:r>
        <w:rPr>
          <w:rFonts w:eastAsia="Lora" w:cs="Circular Std;Yu Gothic" w:ascii="Circular Std;Yu Gothic" w:hAnsi="Circular Std;Yu Gothic"/>
          <w:b/>
          <w:bCs/>
          <w:i/>
          <w:iCs/>
          <w:color w:val="FF3333"/>
          <w:sz w:val="24"/>
          <w:szCs w:val="24"/>
        </w:rPr>
        <w:t>(municipi)</w:t>
      </w:r>
      <w:r>
        <w:rPr>
          <w:rFonts w:eastAsia="Lora" w:cs="Circular Std;Yu Gothic" w:ascii="Circular Std;Yu Gothic" w:hAnsi="Circular Std;Yu Gothic"/>
          <w:b/>
          <w:bCs/>
          <w:color w:val="FF3333"/>
          <w:sz w:val="24"/>
          <w:szCs w:val="24"/>
        </w:rPr>
        <w:t xml:space="preserve"> AMB EL CONSELL </w:t>
      </w:r>
      <w:r>
        <w:rPr>
          <w:rFonts w:eastAsia="Lora" w:cs="Circular Std;Yu Gothic" w:ascii="Circular Std;Yu Gothic" w:hAnsi="Circular Std;Yu Gothic"/>
          <w:b/>
          <w:bCs/>
          <w:color w:val="FF3333"/>
          <w:sz w:val="24"/>
          <w:szCs w:val="24"/>
        </w:rPr>
        <w:t>DE</w:t>
      </w:r>
      <w:r>
        <w:rPr>
          <w:rFonts w:eastAsia="Lora" w:cs="Circular Std;Yu Gothic" w:ascii="Circular Std;Yu Gothic" w:hAnsi="Circular Std;Yu Gothic"/>
          <w:b/>
          <w:bCs/>
          <w:color w:val="FF3333"/>
          <w:sz w:val="24"/>
          <w:szCs w:val="24"/>
        </w:rPr>
        <w:t xml:space="preserve"> LA REPÚBLICA</w:t>
      </w:r>
    </w:p>
    <w:p>
      <w:pPr>
        <w:pStyle w:val="Normal"/>
        <w:spacing w:lineRule="auto" w:line="360" w:before="57" w:after="57"/>
        <w:jc w:val="both"/>
        <w:rPr>
          <w:iCs/>
        </w:rPr>
      </w:pP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</w:r>
    </w:p>
    <w:p>
      <w:pPr>
        <w:pStyle w:val="Normal"/>
        <w:spacing w:lineRule="auto" w:line="276" w:before="57" w:after="57"/>
        <w:jc w:val="both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El Consell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de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 la República és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la primera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 institució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republicana de Catalunya i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 té per objecte impulsar les activitats de caràcter polític, social, cultural i econòmic destinades a la implantació i materialització d’un estat independent a Catalunya en forma de República. Els valors del Consell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de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 la República són: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D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ret a l’autodeterminació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bookmarkStart w:id="1" w:name="_Hlk1062138572"/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Pau, no-violència.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Respecte, voluntat i diàleg.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Drets lingüístics individuals i col·lectius.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Apoderament ciutadà en tots els seus àmbits.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No discriminació, igualtat d’oportunitats, dignitat de les persones i defensa de la societat inclusiva.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 xml:space="preserve">Sostenibilitat, justícia social, econòmica i mediambiental.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Treball cooperatiu i col·laboratiu.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bookmarkStart w:id="2" w:name="_Hlk1062138572"/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Esperit, autoexigència, aspiració, excel·lència i rigor.</w:t>
      </w:r>
      <w:bookmarkEnd w:id="2"/>
    </w:p>
    <w:p>
      <w:pPr>
        <w:pStyle w:val="Normal"/>
        <w:spacing w:lineRule="auto" w:line="276" w:before="240" w:after="0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  <w:shd w:fill="FFFFFF" w:val="clear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La legitimitat originària del Consell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de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 la República neix de la sobirania popular del poble de Catalunya, expressada en dues ocasions, l’1 d’octubre de 2017 i el 21 de desembre de 2017. En aquesta segona ocasió, les forces independentistes van obtenir la majoria al Parlament de Catalunya. L’acord d’investidura preveia la creació del Consell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de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 la República, ja que el mandat republicà sorgit de l’1 d’octubre de 2017 necessita d’una institució republicana. </w:t>
      </w:r>
    </w:p>
    <w:p>
      <w:pPr>
        <w:pStyle w:val="Normal"/>
        <w:spacing w:lineRule="auto" w:line="276" w:before="240" w:after="0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  <w:shd w:fill="FFFFFF" w:val="clear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En la seva voluntat de ser una eina per al desenvolupament d’aquelles estratègies i projectes que permetin avançar Catalunya i les seves institucions cap a una República Catalana Independent, el Consell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de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 la República està en condicions d’oferir alguns serveis a les administracions públiques catalanes que ajudin a la millora de la seva eficiència i al mateix temps comportin un avenç important en l’assumpció i reforç dels esmentats valors.</w:t>
      </w:r>
    </w:p>
    <w:p>
      <w:pPr>
        <w:pStyle w:val="Normal"/>
        <w:spacing w:lineRule="auto" w:line="276" w:before="240" w:after="0"/>
        <w:jc w:val="both"/>
        <w:rPr>
          <w:rFonts w:ascii="Circular Std Book;Yu Gothic" w:hAnsi="Circular Std Book;Yu Gothic" w:eastAsia="Lora" w:cs="Circular Std Book;Yu Gothic"/>
          <w:iCs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Cal remarcar que el principi d’autonomia local reconegut constitucionalment als municipis en els articles 137 i 140 de la Constitució Espanyola i a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l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a Carta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uropea d’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A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utonomia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L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ocal (CEAL, des d’ara) –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laborada en el si del Consell d’Europa el 1985 i ratificada per Espanya el 20 de gener de 1988 –, 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implica,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 entre altres, reconèixer als municipis la potestat de lliure decisió i llibertat de gestió dels seus assumptes fins i tot d’aquells aliens a la seva competència, relacionats amb l’interès municipal (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>article</w:t>
      </w: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  <w:shd w:fill="FFFFFF" w:val="clear"/>
        </w:rPr>
        <w:t xml:space="preserve"> 25.1 de la Llei Reguladora de les Bases de Règim Local). L’autonomia local és el dret i la capacitat efectiva de les Entitats locals d’ordenar i gestionar els seus afers públics.</w:t>
      </w:r>
    </w:p>
    <w:p>
      <w:pPr>
        <w:pStyle w:val="Normal"/>
        <w:spacing w:lineRule="auto" w:line="276" w:before="240" w:after="0"/>
        <w:jc w:val="both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Cs/>
          <w:color w:val="000000"/>
          <w:sz w:val="21"/>
          <w:szCs w:val="21"/>
        </w:rPr>
        <w:t>Per tot això, com a conseqüèn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cia de la coincidència en els seus objectius, el Ple Municipal de </w:t>
      </w:r>
      <w:r>
        <w:rPr>
          <w:rFonts w:eastAsia="Lora" w:cs="Circular Std Book;Yu Gothic" w:ascii="Circular Std Book;Yu Gothic" w:hAnsi="Circular Std Book;Yu Gothic"/>
          <w:i/>
          <w:iCs/>
          <w:color w:val="000000"/>
          <w:sz w:val="21"/>
          <w:szCs w:val="21"/>
        </w:rPr>
        <w:t>(municipi)</w:t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b/>
          <w:b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b/>
          <w:color w:val="000000"/>
          <w:sz w:val="21"/>
          <w:szCs w:val="21"/>
        </w:rPr>
        <w:t>ACORDA</w:t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b/>
          <w:b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b/>
          <w:color w:val="000000"/>
          <w:sz w:val="21"/>
          <w:szCs w:val="21"/>
        </w:rPr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b/>
          <w:bCs/>
          <w:color w:val="000000"/>
          <w:sz w:val="21"/>
          <w:szCs w:val="21"/>
        </w:rPr>
        <w:t>PRIMER.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-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Explicar i difondre entre la ciutadana de </w:t>
      </w:r>
      <w:r>
        <w:rPr>
          <w:rFonts w:eastAsia="Lora" w:cs="Circular Std Book;Yu Gothic" w:ascii="Circular Std Book;Yu Gothic" w:hAnsi="Circular Std Book;Yu Gothic"/>
          <w:i/>
          <w:iCs/>
          <w:color w:val="000000"/>
          <w:sz w:val="21"/>
          <w:szCs w:val="21"/>
        </w:rPr>
        <w:t>(municipi)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la Identitat Digital Republicana, comprometen-nos en l’organització d’actes públics oberts a totes les persones interessades.  </w:t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b/>
          <w:bCs/>
          <w:color w:val="000000"/>
          <w:sz w:val="21"/>
          <w:szCs w:val="21"/>
        </w:rPr>
        <w:t>SEGON.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-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Facilitar l’impuls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entre els veïns del municipi la implementació de la Identitat Digital Republicana. </w:t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b/>
          <w:bCs/>
          <w:color w:val="000000"/>
          <w:sz w:val="21"/>
          <w:szCs w:val="21"/>
        </w:rPr>
        <w:t>TERCER.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-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Impulsar un marc de col·laboració entre l’Ajuntament de </w:t>
      </w:r>
      <w:r>
        <w:rPr>
          <w:rFonts w:eastAsia="Lora" w:cs="Circular Std Book;Yu Gothic" w:ascii="Circular Std Book;Yu Gothic" w:hAnsi="Circular Std Book;Yu Gothic"/>
          <w:i/>
          <w:iCs/>
          <w:color w:val="000000"/>
          <w:sz w:val="21"/>
          <w:szCs w:val="21"/>
        </w:rPr>
        <w:t>(municipi)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i el Consell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>de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la República en l’aplicació d’un model de bones pràctiques en matèria de contractació pública d’acord amb les modificacions introduïdes a la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>L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lei 9/2017, de 8 de novembre, de Contractes del sector públic, per la transposició de la directiva del parlament europeu i del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>C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onsell d’Europa que proclama el concepte 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>d’eficiència</w:t>
      </w: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  <w:t xml:space="preserve"> entès no només en un sentit econòmic sinó amb introducció de criteris contractuals socialment justos, d’eficiència ambiental, d’igualtat real de drets entre homes i dones, culturals i de protecció de drets laborals.</w:t>
      </w:r>
    </w:p>
    <w:p>
      <w:pPr>
        <w:pStyle w:val="Normal"/>
        <w:spacing w:lineRule="auto" w:line="276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QUART</w:t>
      </w:r>
      <w:r>
        <w:rPr>
          <w:rFonts w:eastAsia="Lora" w:cs="Circular Std Book;Yu Gothic" w:ascii="Circular Std Book;Yu Gothic" w:hAnsi="Circular Std Book;Yu Gothic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. - </w:t>
      </w:r>
      <w:r>
        <w:rPr>
          <w:rFonts w:eastAsia="Lora" w:cs="Circular Std Book;Yu Gothic" w:ascii="Circular Std Book;Yu Gothic" w:hAnsi="Circular Std Book;Yu Gothic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Donar trasllat dels presents acords </w:t>
      </w:r>
      <w:r>
        <w:rPr>
          <w:rFonts w:eastAsia="Lora" w:cs="Circular Std Book;Yu Gothic" w:ascii="Circular Std Book;Yu Gothic" w:hAnsi="Circular Std Book;Yu Gothic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al Consell </w:t>
      </w:r>
      <w:r>
        <w:rPr>
          <w:rFonts w:eastAsia="Lora" w:cs="Circular Std Book;Yu Gothic" w:ascii="Circular Std Book;Yu Gothic" w:hAnsi="Circular Std Book;Yu Gothic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</w:t>
      </w:r>
      <w:r>
        <w:rPr>
          <w:rFonts w:eastAsia="Lora" w:cs="Circular Std Book;Yu Gothic" w:ascii="Circular Std Book;Yu Gothic" w:hAnsi="Circular Std Book;Yu Gothic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la República a través del correu electrònic consuminstitucional@consellrepublica.cat</w:t>
      </w:r>
    </w:p>
    <w:p>
      <w:pPr>
        <w:pStyle w:val="Normal"/>
        <w:spacing w:lineRule="auto" w:line="360"/>
        <w:ind w:left="720" w:right="0" w:hanging="360"/>
        <w:jc w:val="both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</w:r>
    </w:p>
    <w:p>
      <w:pPr>
        <w:pStyle w:val="Normal"/>
        <w:spacing w:lineRule="auto" w:line="360"/>
        <w:ind w:left="720" w:right="0" w:hanging="360"/>
        <w:jc w:val="both"/>
        <w:rPr>
          <w:rFonts w:ascii="Circular Std Book;Yu Gothic" w:hAnsi="Circular Std Book;Yu Gothic" w:eastAsia="Lora" w:cs="Circular Std Book;Yu Gothic"/>
          <w:color w:val="000000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color w:val="000000"/>
          <w:sz w:val="21"/>
          <w:szCs w:val="21"/>
        </w:rPr>
      </w:r>
    </w:p>
    <w:p>
      <w:pPr>
        <w:pStyle w:val="Normal"/>
        <w:spacing w:lineRule="auto" w:line="276"/>
        <w:ind w:left="720" w:right="0" w:hanging="360"/>
        <w:jc w:val="both"/>
        <w:rPr>
          <w:rFonts w:ascii="Circular Std Book;Yu Gothic" w:hAnsi="Circular Std Book;Yu Gothic" w:eastAsia="Lora" w:cs="Circular Std Book;Yu Gothic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sz w:val="21"/>
          <w:szCs w:val="21"/>
        </w:rPr>
      </w:r>
    </w:p>
    <w:p>
      <w:pPr>
        <w:pStyle w:val="Normal"/>
        <w:spacing w:lineRule="auto" w:line="276"/>
        <w:ind w:left="720" w:right="0" w:hanging="360"/>
        <w:jc w:val="both"/>
        <w:rPr>
          <w:rFonts w:ascii="Circular Std Book;Yu Gothic" w:hAnsi="Circular Std Book;Yu Gothic" w:eastAsia="Lora" w:cs="Circular Std Book;Yu Gothic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sz w:val="21"/>
          <w:szCs w:val="21"/>
        </w:rPr>
        <w:t xml:space="preserve">Signat, (alcalde/ssa o regidor/a ) </w:t>
      </w:r>
    </w:p>
    <w:p>
      <w:pPr>
        <w:pStyle w:val="Normal"/>
        <w:spacing w:lineRule="auto" w:line="276"/>
        <w:ind w:left="720" w:right="0" w:hanging="360"/>
        <w:jc w:val="both"/>
        <w:rPr>
          <w:rFonts w:ascii="Circular Std Book;Yu Gothic" w:hAnsi="Circular Std Book;Yu Gothic" w:eastAsia="Lora" w:cs="Circular Std Book;Yu Gothic"/>
          <w:sz w:val="21"/>
          <w:szCs w:val="21"/>
        </w:rPr>
      </w:pPr>
      <w:r>
        <w:rPr>
          <w:rFonts w:eastAsia="Lora" w:cs="Circular Std Book;Yu Gothic" w:ascii="Circular Std Book;Yu Gothic" w:hAnsi="Circular Std Book;Yu Gothic"/>
          <w:i/>
          <w:iCs/>
          <w:sz w:val="21"/>
          <w:szCs w:val="21"/>
        </w:rPr>
        <w:t>(Lloc), a (dia) d’(mes) de (any)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ircular Std">
    <w:altName w:val="Yu Gothic"/>
    <w:charset w:val="00"/>
    <w:family w:val="roman"/>
    <w:pitch w:val="variable"/>
  </w:font>
  <w:font w:name="Circular Std Book">
    <w:altName w:val="Yu Gothic"/>
    <w:charset w:val="00"/>
    <w:family w:val="roman"/>
    <w:pitch w:val="variable"/>
  </w:font>
  <w:font w:name="Circular Std Book">
    <w:altName w:val="Yu Gothic"/>
    <w:charset w:val="01"/>
    <w:family w:val="swiss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ircular Std Book" w:hAnsi="Circular Std Book" w:cs="Circular Std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sz w:val="20"/>
      <w:szCs w:val="20"/>
    </w:rPr>
  </w:style>
  <w:style w:type="character" w:styleId="WW8Num5z0">
    <w:name w:val="WW8Num5z0"/>
    <w:qFormat/>
    <w:rPr>
      <w:sz w:val="20"/>
      <w:szCs w:val="20"/>
    </w:rPr>
  </w:style>
  <w:style w:type="character" w:styleId="WW8Num5z1">
    <w:name w:val="WW8Num5z1"/>
    <w:qFormat/>
    <w:rPr/>
  </w:style>
  <w:style w:type="character" w:styleId="WW8Num1z0">
    <w:name w:val="WW8Num1z0"/>
    <w:qFormat/>
    <w:rPr>
      <w:sz w:val="20"/>
      <w:szCs w:val="20"/>
    </w:rPr>
  </w:style>
  <w:style w:type="character" w:styleId="WW8Num1z1">
    <w:name w:val="WW8Num1z1"/>
    <w:qFormat/>
    <w:rPr/>
  </w:style>
  <w:style w:type="character" w:styleId="WW8Num7z0">
    <w:name w:val="WW8Num7z0"/>
    <w:qFormat/>
    <w:rPr>
      <w:sz w:val="20"/>
      <w:szCs w:val="20"/>
    </w:rPr>
  </w:style>
  <w:style w:type="character" w:styleId="WW8Num7z1">
    <w:name w:val="WW8Num7z1"/>
    <w:qFormat/>
    <w:rPr/>
  </w:style>
  <w:style w:type="character" w:styleId="Smbolsdenumeraci">
    <w:name w:val="Símbols de numeració"/>
    <w:qFormat/>
    <w:rPr/>
  </w:style>
  <w:style w:type="character" w:styleId="Pics">
    <w:name w:val="Pics"/>
    <w:qFormat/>
    <w:rPr>
      <w:rFonts w:ascii="OpenSymbol" w:hAnsi="OpenSymbol" w:eastAsia="OpenSymbol" w:cs="OpenSymbol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basedOn w:val="Normal"/>
    <w:qFormat/>
    <w:pPr>
      <w:widowControl w:val="false"/>
      <w:overflowPunct w:val="false"/>
      <w:textAlignment w:val="baseline"/>
    </w:pPr>
    <w:rPr>
      <w:rFonts w:ascii="Arial" w:hAnsi="Arial" w:eastAsia="Arial"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Parrafo">
    <w:name w:val="parrafo"/>
    <w:basedOn w:val="Normal"/>
    <w:qFormat/>
    <w:pPr>
      <w:suppressAutoHyphens w:val="false"/>
      <w:overflowPunct w:val="false"/>
      <w:spacing w:before="280" w:after="280"/>
    </w:pPr>
    <w:rPr>
      <w:rFonts w:ascii="Times New Roman" w:hAnsi="Times New Roman" w:eastAsia="Times New Roman" w:cs="Times New Roman"/>
      <w:kern w:val="0"/>
      <w:lang w:eastAsia="ca-ES" w:bidi="ar-SA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LibreOffice/7.3.0.3$Windows_X86_64 LibreOffice_project/0f246aa12d0eee4a0f7adcefbf7c878fc2238db3</Application>
  <AppVersion>15.0000</AppVersion>
  <Pages>2</Pages>
  <Words>569</Words>
  <Characters>3162</Characters>
  <CharactersWithSpaces>3713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2022-06-15T18:19:00Z</dcterms:created>
  <dc:creator>Joan Anton Font Monclus</dc:creator>
  <dc:description/>
  <dc:language>ca-ES</dc:language>
  <cp:lastModifiedBy/>
  <dcterms:modified xsi:type="dcterms:W3CDTF">2022-11-14T13:21:47Z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